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4E90" w14:textId="77777777" w:rsidR="00B4707C" w:rsidRPr="000856AF" w:rsidRDefault="00B4707C" w:rsidP="00B4707C">
      <w:pPr>
        <w:pStyle w:val="Titre1"/>
        <w:jc w:val="center"/>
        <w:rPr>
          <w:color w:val="FF0000"/>
          <w:sz w:val="28"/>
        </w:rPr>
      </w:pPr>
      <w:r w:rsidRPr="000856AF">
        <w:rPr>
          <w:color w:val="FF0000"/>
          <w:sz w:val="28"/>
        </w:rPr>
        <w:t>CONSIGNES DE SURETE DU PORT TANGER MED</w:t>
      </w:r>
    </w:p>
    <w:p w14:paraId="0104DD68" w14:textId="77777777" w:rsidR="000856AF" w:rsidRPr="00350FC4" w:rsidRDefault="000856AF" w:rsidP="000856AF">
      <w:pPr>
        <w:autoSpaceDE w:val="0"/>
        <w:autoSpaceDN w:val="0"/>
        <w:adjustRightInd w:val="0"/>
        <w:jc w:val="center"/>
        <w:rPr>
          <w:rFonts w:cs="Times-Roman"/>
          <w:b/>
          <w:color w:val="FF0000"/>
        </w:rPr>
      </w:pPr>
      <w:r w:rsidRPr="00350FC4">
        <w:rPr>
          <w:rFonts w:cs="Times-Roman"/>
          <w:b/>
          <w:color w:val="FF0000"/>
        </w:rPr>
        <w:t xml:space="preserve">Le visiteur </w:t>
      </w:r>
      <w:r w:rsidR="00350FC4" w:rsidRPr="00350FC4">
        <w:rPr>
          <w:rFonts w:cs="Times-Roman"/>
          <w:b/>
          <w:color w:val="FF0000"/>
        </w:rPr>
        <w:t xml:space="preserve">ou détenteur d’un badge </w:t>
      </w:r>
      <w:r w:rsidRPr="00350FC4">
        <w:rPr>
          <w:rFonts w:cs="Times-Roman"/>
          <w:b/>
          <w:color w:val="FF0000"/>
        </w:rPr>
        <w:t>est informé et accepte les contraintes de sûreté applicables</w:t>
      </w:r>
    </w:p>
    <w:p w14:paraId="32AE9242" w14:textId="77777777" w:rsidR="00B4707C" w:rsidRPr="00093B62" w:rsidRDefault="00B4707C" w:rsidP="00B4707C">
      <w:pPr>
        <w:pStyle w:val="Titre1"/>
        <w:numPr>
          <w:ilvl w:val="0"/>
          <w:numId w:val="1"/>
        </w:numPr>
        <w:jc w:val="both"/>
        <w:rPr>
          <w:sz w:val="24"/>
          <w:szCs w:val="24"/>
        </w:rPr>
      </w:pPr>
      <w:bookmarkStart w:id="0" w:name="_Toc387222781"/>
      <w:bookmarkStart w:id="1" w:name="_Toc61621201"/>
      <w:r w:rsidRPr="00093B62">
        <w:rPr>
          <w:bCs w:val="0"/>
          <w:sz w:val="24"/>
          <w:szCs w:val="24"/>
        </w:rPr>
        <w:t>Obligations générales</w:t>
      </w:r>
      <w:bookmarkEnd w:id="0"/>
      <w:bookmarkEnd w:id="1"/>
    </w:p>
    <w:p w14:paraId="6E2DBFA6" w14:textId="77777777" w:rsidR="00B4707C" w:rsidRPr="0083177A" w:rsidRDefault="00B4707C" w:rsidP="00B4707C">
      <w:pPr>
        <w:autoSpaceDE w:val="0"/>
        <w:autoSpaceDN w:val="0"/>
        <w:adjustRightInd w:val="0"/>
        <w:ind w:right="708"/>
        <w:jc w:val="both"/>
        <w:rPr>
          <w:rFonts w:cs="Times-Roman"/>
          <w:color w:val="2C2A2A"/>
        </w:rPr>
      </w:pPr>
      <w:r w:rsidRPr="0083177A">
        <w:rPr>
          <w:rFonts w:cs="Times-Roman"/>
          <w:color w:val="2C2A2A"/>
        </w:rPr>
        <w:t>Les personnes pénétrant ou se trouvant dans la zone portuaire doivent :</w:t>
      </w:r>
    </w:p>
    <w:p w14:paraId="6C1E2831" w14:textId="77777777" w:rsidR="00B4707C" w:rsidRPr="0083177A" w:rsidRDefault="00B4707C" w:rsidP="00B4707C">
      <w:pPr>
        <w:pStyle w:val="Paragraphedeliste"/>
        <w:numPr>
          <w:ilvl w:val="0"/>
          <w:numId w:val="2"/>
        </w:numPr>
        <w:autoSpaceDE w:val="0"/>
        <w:autoSpaceDN w:val="0"/>
        <w:adjustRightInd w:val="0"/>
        <w:spacing w:after="0" w:line="240" w:lineRule="auto"/>
        <w:ind w:left="426" w:hanging="142"/>
        <w:jc w:val="both"/>
        <w:rPr>
          <w:rFonts w:cs="Times-Roman"/>
          <w:color w:val="2C2A2A"/>
        </w:rPr>
      </w:pPr>
      <w:r w:rsidRPr="0083177A">
        <w:rPr>
          <w:rFonts w:cs="Times-Roman"/>
          <w:color w:val="2C2A2A"/>
        </w:rPr>
        <w:t>se soumettre au contrôle des documents, et être en mesure de présenter un document attestant de leur identité « CIN,</w:t>
      </w:r>
      <w:r>
        <w:rPr>
          <w:rFonts w:cs="Times-Roman"/>
          <w:color w:val="2C2A2A"/>
        </w:rPr>
        <w:t xml:space="preserve"> Permis</w:t>
      </w:r>
      <w:r w:rsidRPr="0083177A">
        <w:rPr>
          <w:rFonts w:cs="Times-Roman"/>
          <w:color w:val="2C2A2A"/>
        </w:rPr>
        <w:t xml:space="preserve"> de conduire, Passeport » et accepter que soit établie la correspondance entre ce document et leur personne.</w:t>
      </w:r>
    </w:p>
    <w:p w14:paraId="5BF8E326" w14:textId="77777777" w:rsidR="00B4707C" w:rsidRDefault="00B4707C" w:rsidP="00B4707C">
      <w:pPr>
        <w:pStyle w:val="Paragraphedeliste"/>
        <w:numPr>
          <w:ilvl w:val="0"/>
          <w:numId w:val="2"/>
        </w:numPr>
        <w:autoSpaceDE w:val="0"/>
        <w:autoSpaceDN w:val="0"/>
        <w:adjustRightInd w:val="0"/>
        <w:spacing w:after="0" w:line="240" w:lineRule="auto"/>
        <w:ind w:left="426" w:hanging="142"/>
        <w:jc w:val="both"/>
        <w:rPr>
          <w:rFonts w:cs="Times-Roman"/>
          <w:color w:val="2C2A2A"/>
        </w:rPr>
      </w:pPr>
      <w:r w:rsidRPr="0083177A">
        <w:rPr>
          <w:rFonts w:cs="Times-Roman"/>
          <w:color w:val="2C2A2A"/>
        </w:rPr>
        <w:t xml:space="preserve">ne pas faciliter l’entrée en zone portuaire de personnes dépourvues des </w:t>
      </w:r>
      <w:r>
        <w:rPr>
          <w:rFonts w:cs="Times-Roman"/>
          <w:color w:val="2C2A2A"/>
        </w:rPr>
        <w:t>autorisations nécessaires.</w:t>
      </w:r>
    </w:p>
    <w:p w14:paraId="762F12AD" w14:textId="77777777" w:rsidR="00B4707C" w:rsidRPr="00B4707C" w:rsidRDefault="00B4707C" w:rsidP="00B4707C">
      <w:pPr>
        <w:pStyle w:val="Paragraphedeliste"/>
        <w:numPr>
          <w:ilvl w:val="0"/>
          <w:numId w:val="2"/>
        </w:numPr>
        <w:autoSpaceDE w:val="0"/>
        <w:autoSpaceDN w:val="0"/>
        <w:adjustRightInd w:val="0"/>
        <w:spacing w:after="0" w:line="240" w:lineRule="auto"/>
        <w:ind w:left="426" w:hanging="142"/>
        <w:jc w:val="both"/>
        <w:rPr>
          <w:rFonts w:cs="Times-Roman"/>
          <w:color w:val="2C2A2A"/>
        </w:rPr>
      </w:pPr>
      <w:r>
        <w:rPr>
          <w:rFonts w:cs="Times-Roman"/>
          <w:color w:val="2C2A2A"/>
        </w:rPr>
        <w:t>ne pas i</w:t>
      </w:r>
      <w:r>
        <w:t>ntroduire de l’alcool, des drogues, des armes</w:t>
      </w:r>
    </w:p>
    <w:p w14:paraId="06EC69F1" w14:textId="77777777" w:rsidR="00B4707C" w:rsidRPr="00486D3B" w:rsidRDefault="00486D3B" w:rsidP="00B4707C">
      <w:pPr>
        <w:pStyle w:val="Paragraphedeliste"/>
        <w:numPr>
          <w:ilvl w:val="0"/>
          <w:numId w:val="2"/>
        </w:numPr>
        <w:autoSpaceDE w:val="0"/>
        <w:autoSpaceDN w:val="0"/>
        <w:adjustRightInd w:val="0"/>
        <w:spacing w:after="0" w:line="240" w:lineRule="auto"/>
        <w:ind w:left="426" w:hanging="142"/>
        <w:jc w:val="both"/>
      </w:pPr>
      <w:r w:rsidRPr="00486D3B">
        <w:t>ne pas procéder à des prises de vues « photos, vidéos » sans autorisation de TMPA</w:t>
      </w:r>
    </w:p>
    <w:p w14:paraId="36A8F607" w14:textId="77777777" w:rsidR="00B4707C" w:rsidRPr="00093B62" w:rsidRDefault="00B4707C" w:rsidP="00B4707C">
      <w:pPr>
        <w:pStyle w:val="Titre1"/>
        <w:numPr>
          <w:ilvl w:val="0"/>
          <w:numId w:val="1"/>
        </w:numPr>
        <w:jc w:val="both"/>
        <w:rPr>
          <w:bCs w:val="0"/>
          <w:sz w:val="24"/>
          <w:szCs w:val="24"/>
        </w:rPr>
      </w:pPr>
      <w:bookmarkStart w:id="2" w:name="_Toc387222782"/>
      <w:bookmarkStart w:id="3" w:name="_Toc61621202"/>
      <w:r w:rsidRPr="00093B62">
        <w:rPr>
          <w:sz w:val="24"/>
          <w:szCs w:val="24"/>
        </w:rPr>
        <w:t>Obligations attachées à la détention d’un titre de circulation de personne</w:t>
      </w:r>
      <w:bookmarkEnd w:id="2"/>
      <w:bookmarkEnd w:id="3"/>
      <w:r w:rsidR="00C46CBD">
        <w:rPr>
          <w:sz w:val="24"/>
          <w:szCs w:val="24"/>
        </w:rPr>
        <w:t xml:space="preserve"> « Badge ou TAP »</w:t>
      </w:r>
    </w:p>
    <w:p w14:paraId="0AF33C38" w14:textId="77777777" w:rsidR="00B4707C" w:rsidRPr="0083177A" w:rsidRDefault="00B4707C" w:rsidP="00B4707C">
      <w:r w:rsidRPr="0083177A">
        <w:t>Le titulaire d’un titre de circulation de personne doit :</w:t>
      </w:r>
    </w:p>
    <w:p w14:paraId="3059E35F" w14:textId="77777777" w:rsidR="00B4707C" w:rsidRPr="0083177A" w:rsidRDefault="00B4707C" w:rsidP="00B4707C">
      <w:pPr>
        <w:pStyle w:val="Paragraphedeliste"/>
        <w:numPr>
          <w:ilvl w:val="0"/>
          <w:numId w:val="3"/>
        </w:numPr>
        <w:spacing w:after="200" w:line="276" w:lineRule="auto"/>
        <w:ind w:right="708"/>
        <w:jc w:val="both"/>
      </w:pPr>
      <w:r w:rsidRPr="0083177A">
        <w:t>n’accéder qu’aux zones portuaire</w:t>
      </w:r>
      <w:r>
        <w:t>s</w:t>
      </w:r>
      <w:r w:rsidRPr="0083177A">
        <w:t xml:space="preserve"> dont l’accès lui est autorisé ;</w:t>
      </w:r>
    </w:p>
    <w:p w14:paraId="037481BE" w14:textId="77777777" w:rsidR="00B4707C" w:rsidRPr="0083177A" w:rsidRDefault="00B4707C" w:rsidP="00B4707C">
      <w:pPr>
        <w:pStyle w:val="Paragraphedeliste"/>
        <w:numPr>
          <w:ilvl w:val="0"/>
          <w:numId w:val="3"/>
        </w:numPr>
        <w:spacing w:after="200" w:line="276" w:lineRule="auto"/>
        <w:jc w:val="both"/>
      </w:pPr>
      <w:r w:rsidRPr="0083177A">
        <w:t>porter son titre de circulation de façon visible pendant toute la durée du séjour dans la zone portuaire ;</w:t>
      </w:r>
    </w:p>
    <w:p w14:paraId="27A1FB6A" w14:textId="77777777" w:rsidR="00B4707C" w:rsidRPr="0083177A" w:rsidRDefault="00B4707C" w:rsidP="00B4707C">
      <w:pPr>
        <w:pStyle w:val="Paragraphedeliste"/>
        <w:numPr>
          <w:ilvl w:val="0"/>
          <w:numId w:val="3"/>
        </w:numPr>
        <w:spacing w:after="200" w:line="276" w:lineRule="auto"/>
        <w:jc w:val="both"/>
      </w:pPr>
      <w:r w:rsidRPr="0083177A">
        <w:t>ne pas prêter son titre de circulation à un tiers pour quelque motif que ce soit ;</w:t>
      </w:r>
    </w:p>
    <w:p w14:paraId="0C36DD7D" w14:textId="77777777" w:rsidR="00B4707C" w:rsidRPr="00A96486" w:rsidRDefault="00B4707C" w:rsidP="00B4707C">
      <w:pPr>
        <w:pStyle w:val="Paragraphedeliste"/>
        <w:numPr>
          <w:ilvl w:val="0"/>
          <w:numId w:val="3"/>
        </w:numPr>
        <w:spacing w:after="200" w:line="276" w:lineRule="auto"/>
        <w:jc w:val="both"/>
      </w:pPr>
      <w:r w:rsidRPr="0083177A">
        <w:t xml:space="preserve">signaler dans les plus brefs délais la perte ou le vol de son titre de circulation au service qui le </w:t>
      </w:r>
      <w:r w:rsidRPr="00A96486">
        <w:t>lui a délivré ;</w:t>
      </w:r>
    </w:p>
    <w:p w14:paraId="2FDBBEEE" w14:textId="77777777" w:rsidR="00B4707C" w:rsidRDefault="00B4707C" w:rsidP="00B4707C">
      <w:pPr>
        <w:pStyle w:val="Paragraphedeliste"/>
        <w:numPr>
          <w:ilvl w:val="0"/>
          <w:numId w:val="3"/>
        </w:numPr>
        <w:spacing w:after="200" w:line="276" w:lineRule="auto"/>
        <w:jc w:val="both"/>
      </w:pPr>
      <w:r w:rsidRPr="00A06DF0">
        <w:t xml:space="preserve">restituer le </w:t>
      </w:r>
      <w:r w:rsidRPr="00A96486">
        <w:t>titre de circulation permanent ou temporaire au service qui lui a délivré directement ou par l’intermédiaire de l’entreprise qui en a fait la demande</w:t>
      </w:r>
      <w:r w:rsidRPr="00A06DF0">
        <w:t xml:space="preserve"> de délivrance</w:t>
      </w:r>
      <w:r>
        <w:t> :</w:t>
      </w:r>
    </w:p>
    <w:p w14:paraId="1C3884FC" w14:textId="77777777" w:rsidR="00B4707C" w:rsidRDefault="00B4707C" w:rsidP="00B4707C">
      <w:pPr>
        <w:pStyle w:val="Paragraphedeliste"/>
        <w:numPr>
          <w:ilvl w:val="0"/>
          <w:numId w:val="5"/>
        </w:numPr>
        <w:spacing w:after="200" w:line="276" w:lineRule="auto"/>
        <w:ind w:left="1701" w:right="708"/>
        <w:jc w:val="both"/>
      </w:pPr>
      <w:r w:rsidRPr="0083177A">
        <w:t>dès la cessation d’activité dans la zone portuaire.</w:t>
      </w:r>
    </w:p>
    <w:p w14:paraId="3F5266D4" w14:textId="77777777" w:rsidR="00B4707C" w:rsidRDefault="00B4707C" w:rsidP="00B4707C">
      <w:pPr>
        <w:pStyle w:val="Paragraphedeliste"/>
        <w:numPr>
          <w:ilvl w:val="0"/>
          <w:numId w:val="5"/>
        </w:numPr>
        <w:spacing w:after="200" w:line="276" w:lineRule="auto"/>
        <w:ind w:left="1701" w:right="708"/>
        <w:jc w:val="both"/>
      </w:pPr>
      <w:r w:rsidRPr="00C05BCD">
        <w:t xml:space="preserve">dès la fin de </w:t>
      </w:r>
      <w:r>
        <w:t xml:space="preserve">la </w:t>
      </w:r>
      <w:r w:rsidRPr="00C05BCD">
        <w:t>période de validité</w:t>
      </w:r>
      <w:r>
        <w:t xml:space="preserve"> du titre</w:t>
      </w:r>
      <w:r w:rsidRPr="009C5B90">
        <w:t xml:space="preserve"> </w:t>
      </w:r>
      <w:r>
        <w:t xml:space="preserve">ou de l’activité qui a justifié sa délivrance. </w:t>
      </w:r>
    </w:p>
    <w:p w14:paraId="573F9E18" w14:textId="77777777" w:rsidR="00B4707C" w:rsidRPr="00A06DF0" w:rsidRDefault="00B4707C" w:rsidP="00070212">
      <w:pPr>
        <w:jc w:val="both"/>
      </w:pPr>
      <w:r>
        <w:t>En cas de non restitution d’un titre pour personne ou pour véhicule, la nouvelle demande adressée au bureau badges ne sera traitée qu’après la présentation du titre en question ou bien de la déclaration de perte ou de vol, faite auprès de la DSGN</w:t>
      </w:r>
      <w:r w:rsidR="00070212">
        <w:t>,</w:t>
      </w:r>
      <w:r>
        <w:t xml:space="preserve"> de la Gendarmerie Royale</w:t>
      </w:r>
      <w:r w:rsidR="00070212">
        <w:t xml:space="preserve"> ou </w:t>
      </w:r>
      <w:r w:rsidR="00D06584">
        <w:t>dépôt d’</w:t>
      </w:r>
      <w:r w:rsidR="00070212">
        <w:t xml:space="preserve">une </w:t>
      </w:r>
      <w:r w:rsidR="00D06584">
        <w:t>déclaration sur l’honneur</w:t>
      </w:r>
      <w:r w:rsidR="00070212">
        <w:t xml:space="preserve"> au bureau des formalités d’accès par l’intéressé ou par son correspondant</w:t>
      </w:r>
      <w:r>
        <w:t>.</w:t>
      </w:r>
    </w:p>
    <w:p w14:paraId="3EA0D8B5" w14:textId="77777777" w:rsidR="00B4707C" w:rsidRPr="00BD72B2" w:rsidRDefault="00B4707C" w:rsidP="00B4707C">
      <w:pPr>
        <w:pStyle w:val="Titre1"/>
        <w:numPr>
          <w:ilvl w:val="0"/>
          <w:numId w:val="1"/>
        </w:numPr>
        <w:jc w:val="both"/>
        <w:rPr>
          <w:sz w:val="24"/>
          <w:szCs w:val="24"/>
        </w:rPr>
      </w:pPr>
      <w:bookmarkStart w:id="4" w:name="_Toc387222783"/>
      <w:bookmarkStart w:id="5" w:name="_Toc61621203"/>
      <w:r w:rsidRPr="00BD72B2">
        <w:rPr>
          <w:bCs w:val="0"/>
          <w:sz w:val="24"/>
          <w:szCs w:val="24"/>
        </w:rPr>
        <w:t>Obligations attachées à la détention d’un titre de circulation de véhicule</w:t>
      </w:r>
      <w:bookmarkEnd w:id="4"/>
      <w:bookmarkEnd w:id="5"/>
      <w:r w:rsidR="00C46CBD">
        <w:rPr>
          <w:bCs w:val="0"/>
          <w:sz w:val="24"/>
          <w:szCs w:val="24"/>
        </w:rPr>
        <w:t xml:space="preserve"> « Macaron »</w:t>
      </w:r>
    </w:p>
    <w:p w14:paraId="3BA6775D" w14:textId="77777777" w:rsidR="00B4707C" w:rsidRPr="0083177A" w:rsidRDefault="00B4707C" w:rsidP="00B4707C">
      <w:pPr>
        <w:autoSpaceDE w:val="0"/>
        <w:autoSpaceDN w:val="0"/>
        <w:adjustRightInd w:val="0"/>
        <w:ind w:right="708"/>
        <w:jc w:val="both"/>
        <w:rPr>
          <w:rFonts w:cs="Times-Roman"/>
          <w:color w:val="2C2A2A"/>
        </w:rPr>
      </w:pPr>
      <w:r w:rsidRPr="0083177A">
        <w:rPr>
          <w:rFonts w:cs="Times-Roman"/>
          <w:color w:val="2C2A2A"/>
        </w:rPr>
        <w:t>Le conducteur du véhicule doté d’un titre de circulation doit :</w:t>
      </w:r>
    </w:p>
    <w:p w14:paraId="7C3DFBEE" w14:textId="77777777" w:rsidR="00B4707C" w:rsidRPr="002C1F48"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2C1F48">
        <w:rPr>
          <w:rFonts w:cs="Times-Roman"/>
          <w:color w:val="2C2A2A"/>
        </w:rPr>
        <w:t>ne pas permettre à une personne non autorisée de pénétrer dans la zone portuaire au moyen de ce</w:t>
      </w:r>
      <w:r>
        <w:rPr>
          <w:rFonts w:cs="Times-Roman"/>
          <w:color w:val="2C2A2A"/>
        </w:rPr>
        <w:t xml:space="preserve"> véhicule ;</w:t>
      </w:r>
    </w:p>
    <w:p w14:paraId="70F6CECC" w14:textId="77777777" w:rsidR="00B4707C" w:rsidRPr="0083177A"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83177A">
        <w:rPr>
          <w:rFonts w:cs="Times-Roman"/>
          <w:color w:val="2C2A2A"/>
        </w:rPr>
        <w:t>apposer le titre d’une manière apparente sur la lunette avant du véhicule pendant toute la durée du séjour dans la zone portuaire ;</w:t>
      </w:r>
    </w:p>
    <w:p w14:paraId="47685355" w14:textId="77777777" w:rsidR="00B4707C" w:rsidRPr="0083177A"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83177A">
        <w:rPr>
          <w:rFonts w:cs="Times-Roman"/>
          <w:color w:val="2C2A2A"/>
        </w:rPr>
        <w:t>veiller à ce qu’aucune personne n’introduise un article prohibé à l’intérieur du véhicule ;</w:t>
      </w:r>
    </w:p>
    <w:p w14:paraId="0851BB06" w14:textId="77777777" w:rsidR="00B4707C" w:rsidRPr="0083177A"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83177A">
        <w:rPr>
          <w:rFonts w:cs="Times-Roman"/>
          <w:color w:val="2C2A2A"/>
        </w:rPr>
        <w:t>sans préjudice de dispositions liées à la sécurité, pendant les périodes où aucune personne ne se trouve à bord du véhicule, maintenir fermés à clef l’habitacle et le coffre du véhicule pendant toute la durée du séjour dans la zone portuaire ;</w:t>
      </w:r>
    </w:p>
    <w:p w14:paraId="4280922C" w14:textId="77777777" w:rsidR="00B4707C" w:rsidRPr="0083177A"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83177A">
        <w:rPr>
          <w:rFonts w:cs="Times-Roman"/>
          <w:color w:val="2C2A2A"/>
        </w:rPr>
        <w:lastRenderedPageBreak/>
        <w:t>ne pas permettre son utilisation pour un autre véhicule que celui pour lequel il a été délivré ;</w:t>
      </w:r>
    </w:p>
    <w:p w14:paraId="59747647" w14:textId="77777777" w:rsidR="00B4707C" w:rsidRPr="008E7F0A" w:rsidRDefault="00B4707C" w:rsidP="00B4707C">
      <w:pPr>
        <w:pStyle w:val="Paragraphedeliste"/>
        <w:numPr>
          <w:ilvl w:val="0"/>
          <w:numId w:val="4"/>
        </w:numPr>
        <w:autoSpaceDE w:val="0"/>
        <w:autoSpaceDN w:val="0"/>
        <w:adjustRightInd w:val="0"/>
        <w:spacing w:after="0" w:line="240" w:lineRule="auto"/>
        <w:ind w:left="426" w:right="708" w:firstLine="0"/>
        <w:jc w:val="both"/>
        <w:rPr>
          <w:rFonts w:cs="Times-Roman"/>
          <w:color w:val="2C2A2A"/>
        </w:rPr>
      </w:pPr>
      <w:r w:rsidRPr="0083177A">
        <w:rPr>
          <w:rFonts w:cs="Times-Roman"/>
          <w:color w:val="2C2A2A"/>
        </w:rPr>
        <w:t xml:space="preserve">signaler dans les plus brefs délais la perte ou le vol (y compris en cas de vol du véhicule) de </w:t>
      </w:r>
      <w:r w:rsidRPr="008E7F0A">
        <w:rPr>
          <w:rFonts w:cs="Times-Roman"/>
          <w:color w:val="2C2A2A"/>
        </w:rPr>
        <w:t>son titre de circulation au service qui le lui a délivré ;</w:t>
      </w:r>
    </w:p>
    <w:p w14:paraId="63EA68E4" w14:textId="77777777" w:rsidR="00B4707C" w:rsidRPr="008E7F0A"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8E7F0A">
        <w:rPr>
          <w:rFonts w:cs="Times-Roman"/>
          <w:color w:val="2C2A2A"/>
        </w:rPr>
        <w:t>Apposition du logo sur les portes latérales avant et sur le capot pour les véhicules dotés d’un macaron blanc ;</w:t>
      </w:r>
    </w:p>
    <w:p w14:paraId="32C6F0A2" w14:textId="77777777" w:rsidR="00B4707C" w:rsidRPr="008E7F0A"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8E7F0A">
        <w:rPr>
          <w:rFonts w:cs="Times-Roman"/>
          <w:color w:val="2C2A2A"/>
        </w:rPr>
        <w:t>N’accéder qu’aux zones autorisées sur le macaron ;</w:t>
      </w:r>
    </w:p>
    <w:p w14:paraId="150A4FB8" w14:textId="77777777" w:rsidR="00B4707C" w:rsidRDefault="00B4707C" w:rsidP="00B4707C">
      <w:pPr>
        <w:pStyle w:val="Paragraphedeliste"/>
        <w:numPr>
          <w:ilvl w:val="0"/>
          <w:numId w:val="4"/>
        </w:numPr>
        <w:autoSpaceDE w:val="0"/>
        <w:autoSpaceDN w:val="0"/>
        <w:adjustRightInd w:val="0"/>
        <w:spacing w:after="0" w:line="240" w:lineRule="auto"/>
        <w:ind w:left="426" w:firstLine="0"/>
        <w:jc w:val="both"/>
        <w:rPr>
          <w:rFonts w:cs="Times-Roman"/>
          <w:color w:val="2C2A2A"/>
        </w:rPr>
      </w:pPr>
      <w:r w:rsidRPr="000A2C5F">
        <w:rPr>
          <w:rFonts w:cs="Times-Roman"/>
          <w:color w:val="2C2A2A"/>
        </w:rPr>
        <w:t xml:space="preserve">restituer le titre de circulation au </w:t>
      </w:r>
      <w:r>
        <w:rPr>
          <w:rFonts w:cs="Times-Roman"/>
          <w:color w:val="2C2A2A"/>
        </w:rPr>
        <w:t xml:space="preserve">bureau des formalités d’accès </w:t>
      </w:r>
      <w:r w:rsidRPr="000A2C5F">
        <w:rPr>
          <w:rFonts w:cs="Times-Roman"/>
          <w:color w:val="2C2A2A"/>
        </w:rPr>
        <w:t>directement ou par l’intermédiaire de</w:t>
      </w:r>
      <w:r>
        <w:rPr>
          <w:rFonts w:cs="Times-Roman"/>
          <w:color w:val="2C2A2A"/>
        </w:rPr>
        <w:t xml:space="preserve"> </w:t>
      </w:r>
      <w:r w:rsidRPr="000A2C5F">
        <w:rPr>
          <w:rFonts w:cs="Times-Roman"/>
          <w:color w:val="2C2A2A"/>
        </w:rPr>
        <w:t>l’entreprise qui en a fait la demande de délivrance</w:t>
      </w:r>
      <w:r>
        <w:rPr>
          <w:rFonts w:cs="Times-Roman"/>
          <w:color w:val="2C2A2A"/>
        </w:rPr>
        <w:t> :</w:t>
      </w:r>
    </w:p>
    <w:p w14:paraId="47A109A7" w14:textId="77777777" w:rsidR="00B4707C" w:rsidRDefault="00B4707C" w:rsidP="00B4707C">
      <w:pPr>
        <w:pStyle w:val="Paragraphedeliste"/>
        <w:numPr>
          <w:ilvl w:val="0"/>
          <w:numId w:val="6"/>
        </w:numPr>
        <w:spacing w:after="200" w:line="276" w:lineRule="auto"/>
        <w:ind w:left="426" w:right="708" w:firstLine="0"/>
        <w:jc w:val="both"/>
      </w:pPr>
      <w:r w:rsidRPr="0083177A">
        <w:t>dès la cessation d’activité dans la zone portuaire.</w:t>
      </w:r>
    </w:p>
    <w:p w14:paraId="07FC3446" w14:textId="77777777" w:rsidR="00B4707C" w:rsidRDefault="00B4707C" w:rsidP="00B4707C">
      <w:pPr>
        <w:pStyle w:val="Paragraphedeliste"/>
        <w:numPr>
          <w:ilvl w:val="0"/>
          <w:numId w:val="6"/>
        </w:numPr>
        <w:spacing w:after="200" w:line="276" w:lineRule="auto"/>
        <w:ind w:left="426" w:firstLine="0"/>
        <w:jc w:val="both"/>
      </w:pPr>
      <w:r w:rsidRPr="00C05BCD">
        <w:t xml:space="preserve">dès la fin de </w:t>
      </w:r>
      <w:r>
        <w:t xml:space="preserve">la </w:t>
      </w:r>
      <w:r w:rsidRPr="00C05BCD">
        <w:t>période de validité</w:t>
      </w:r>
      <w:r>
        <w:t xml:space="preserve"> du titre ou de l’activité qui a justifié sa délivrance, </w:t>
      </w:r>
      <w:r w:rsidRPr="00F40A9F">
        <w:t xml:space="preserve">pour les titres </w:t>
      </w:r>
      <w:r>
        <w:t xml:space="preserve">de </w:t>
      </w:r>
      <w:r w:rsidRPr="00F40A9F">
        <w:t>circulation permanent</w:t>
      </w:r>
      <w:r>
        <w:t>s</w:t>
      </w:r>
      <w:r w:rsidRPr="00F40A9F">
        <w:t>, et temporaire</w:t>
      </w:r>
      <w:r>
        <w:t>s</w:t>
      </w:r>
      <w:r w:rsidRPr="00F40A9F">
        <w:t>.</w:t>
      </w:r>
    </w:p>
    <w:p w14:paraId="716E046B" w14:textId="77777777" w:rsidR="00B4707C" w:rsidRPr="00BD72B2" w:rsidRDefault="00B4707C" w:rsidP="00B4707C">
      <w:pPr>
        <w:pStyle w:val="Titre1"/>
        <w:numPr>
          <w:ilvl w:val="0"/>
          <w:numId w:val="1"/>
        </w:numPr>
        <w:jc w:val="both"/>
        <w:rPr>
          <w:bCs w:val="0"/>
          <w:sz w:val="24"/>
          <w:szCs w:val="24"/>
        </w:rPr>
      </w:pPr>
      <w:bookmarkStart w:id="6" w:name="_Toc387222788"/>
      <w:bookmarkStart w:id="7" w:name="_Toc61621208"/>
      <w:r w:rsidRPr="00BD72B2">
        <w:rPr>
          <w:bCs w:val="0"/>
          <w:sz w:val="24"/>
          <w:szCs w:val="24"/>
        </w:rPr>
        <w:t xml:space="preserve">Retrait du titre de circulation </w:t>
      </w:r>
      <w:r w:rsidR="00C46CBD">
        <w:rPr>
          <w:bCs w:val="0"/>
          <w:sz w:val="24"/>
          <w:szCs w:val="24"/>
        </w:rPr>
        <w:t xml:space="preserve">« Badge, TAP et Macaron » </w:t>
      </w:r>
      <w:r w:rsidRPr="00BD72B2">
        <w:rPr>
          <w:bCs w:val="0"/>
          <w:sz w:val="24"/>
          <w:szCs w:val="24"/>
        </w:rPr>
        <w:t xml:space="preserve">en cas de non-respect des règles d’accès, de </w:t>
      </w:r>
      <w:r>
        <w:rPr>
          <w:bCs w:val="0"/>
          <w:sz w:val="24"/>
          <w:szCs w:val="24"/>
        </w:rPr>
        <w:t xml:space="preserve">stationnement, </w:t>
      </w:r>
      <w:r w:rsidRPr="00BD72B2">
        <w:rPr>
          <w:bCs w:val="0"/>
          <w:sz w:val="24"/>
          <w:szCs w:val="24"/>
        </w:rPr>
        <w:t>de circulation</w:t>
      </w:r>
      <w:bookmarkEnd w:id="6"/>
      <w:bookmarkEnd w:id="7"/>
      <w:r>
        <w:rPr>
          <w:bCs w:val="0"/>
          <w:sz w:val="24"/>
          <w:szCs w:val="24"/>
        </w:rPr>
        <w:t xml:space="preserve"> ou du règlement d’exploitation du Port</w:t>
      </w:r>
      <w:r w:rsidRPr="00BD72B2">
        <w:rPr>
          <w:bCs w:val="0"/>
          <w:sz w:val="24"/>
          <w:szCs w:val="24"/>
        </w:rPr>
        <w:t xml:space="preserve"> </w:t>
      </w:r>
    </w:p>
    <w:p w14:paraId="24AC7668" w14:textId="77777777" w:rsidR="00B4707C" w:rsidRDefault="00B4707C" w:rsidP="00B4707C">
      <w:pPr>
        <w:autoSpaceDE w:val="0"/>
        <w:autoSpaceDN w:val="0"/>
        <w:adjustRightInd w:val="0"/>
        <w:jc w:val="both"/>
        <w:rPr>
          <w:rFonts w:cs="Times-Roman"/>
          <w:color w:val="2C2A2A"/>
        </w:rPr>
      </w:pPr>
      <w:r w:rsidRPr="0083177A">
        <w:rPr>
          <w:rFonts w:cs="Times-Roman"/>
          <w:color w:val="2C2A2A"/>
        </w:rPr>
        <w:t>Le titre de c</w:t>
      </w:r>
      <w:r>
        <w:rPr>
          <w:rFonts w:cs="Times-Roman"/>
          <w:color w:val="2C2A2A"/>
        </w:rPr>
        <w:t>irculation est délivré par TMPA qui en reste propriétaire. Il est</w:t>
      </w:r>
      <w:r w:rsidRPr="0083177A">
        <w:rPr>
          <w:rFonts w:cs="Times-Roman"/>
          <w:color w:val="2C2A2A"/>
        </w:rPr>
        <w:t xml:space="preserve"> retiré</w:t>
      </w:r>
      <w:r>
        <w:rPr>
          <w:rFonts w:cs="Times-Roman"/>
          <w:color w:val="2C2A2A"/>
        </w:rPr>
        <w:t xml:space="preserve"> temporairement ou définitivement </w:t>
      </w:r>
      <w:r w:rsidRPr="0083177A">
        <w:rPr>
          <w:rFonts w:cs="Times-Roman"/>
          <w:color w:val="2C2A2A"/>
        </w:rPr>
        <w:t>en cas de</w:t>
      </w:r>
      <w:r>
        <w:rPr>
          <w:rFonts w:cs="Times-Roman"/>
          <w:color w:val="2C2A2A"/>
        </w:rPr>
        <w:t> :</w:t>
      </w:r>
    </w:p>
    <w:p w14:paraId="07473F3D" w14:textId="77777777" w:rsidR="00B4707C" w:rsidRDefault="00B4707C" w:rsidP="00B4707C">
      <w:pPr>
        <w:pStyle w:val="Paragraphedeliste"/>
        <w:numPr>
          <w:ilvl w:val="0"/>
          <w:numId w:val="7"/>
        </w:numPr>
        <w:autoSpaceDE w:val="0"/>
        <w:autoSpaceDN w:val="0"/>
        <w:adjustRightInd w:val="0"/>
        <w:spacing w:after="0" w:line="240" w:lineRule="auto"/>
        <w:ind w:right="708"/>
        <w:rPr>
          <w:rFonts w:cs="Times-Roman"/>
          <w:color w:val="2C2A2A"/>
        </w:rPr>
      </w:pPr>
      <w:r w:rsidRPr="00FF2BBB">
        <w:rPr>
          <w:rFonts w:cs="Times-Roman"/>
          <w:color w:val="2C2A2A"/>
        </w:rPr>
        <w:t>non-respect des règles d’accès, de stationnement, circulation dans ou du règlement d’exploitation du Port Tanger Med.</w:t>
      </w:r>
    </w:p>
    <w:p w14:paraId="5351B743" w14:textId="77777777" w:rsidR="00B4707C" w:rsidRDefault="00B4707C" w:rsidP="00B4707C">
      <w:pPr>
        <w:pStyle w:val="Paragraphedeliste"/>
        <w:numPr>
          <w:ilvl w:val="0"/>
          <w:numId w:val="7"/>
        </w:numPr>
        <w:autoSpaceDE w:val="0"/>
        <w:autoSpaceDN w:val="0"/>
        <w:adjustRightInd w:val="0"/>
        <w:spacing w:after="0" w:line="240" w:lineRule="auto"/>
        <w:ind w:right="708"/>
        <w:rPr>
          <w:rFonts w:cs="Times-Roman"/>
          <w:color w:val="2C2A2A"/>
        </w:rPr>
      </w:pPr>
      <w:r>
        <w:rPr>
          <w:rFonts w:cs="Times-Roman"/>
          <w:color w:val="2C2A2A"/>
        </w:rPr>
        <w:t>non-respect des obligations attachées à la détention d’un titre de circulation</w:t>
      </w:r>
    </w:p>
    <w:p w14:paraId="00F076B6" w14:textId="77777777" w:rsidR="00B4707C" w:rsidRPr="00FF2BBB" w:rsidRDefault="00B4707C" w:rsidP="00B4707C">
      <w:pPr>
        <w:pStyle w:val="Paragraphedeliste"/>
        <w:numPr>
          <w:ilvl w:val="0"/>
          <w:numId w:val="7"/>
        </w:numPr>
        <w:autoSpaceDE w:val="0"/>
        <w:autoSpaceDN w:val="0"/>
        <w:adjustRightInd w:val="0"/>
        <w:spacing w:after="0" w:line="240" w:lineRule="auto"/>
        <w:ind w:right="708"/>
        <w:rPr>
          <w:rFonts w:cs="Times-Roman"/>
          <w:color w:val="2C2A2A"/>
        </w:rPr>
      </w:pPr>
      <w:r w:rsidRPr="00FF2BBB">
        <w:rPr>
          <w:rFonts w:cs="Times-Roman"/>
          <w:color w:val="2C2A2A"/>
        </w:rPr>
        <w:t xml:space="preserve">sur demande d’une administration </w:t>
      </w:r>
      <w:r>
        <w:rPr>
          <w:rFonts w:cs="Times-Roman"/>
          <w:color w:val="2C2A2A"/>
        </w:rPr>
        <w:t>ou</w:t>
      </w:r>
      <w:r w:rsidRPr="00FF2BBB">
        <w:rPr>
          <w:rFonts w:cs="Times-Roman"/>
          <w:color w:val="2C2A2A"/>
        </w:rPr>
        <w:t xml:space="preserve"> comité de sûreté portuaire. </w:t>
      </w:r>
    </w:p>
    <w:p w14:paraId="2406D0C7" w14:textId="77777777" w:rsidR="00B4707C" w:rsidRPr="00FF2BBB" w:rsidRDefault="00B4707C" w:rsidP="00B4707C">
      <w:pPr>
        <w:pStyle w:val="Titre1"/>
        <w:numPr>
          <w:ilvl w:val="0"/>
          <w:numId w:val="1"/>
        </w:numPr>
        <w:jc w:val="both"/>
        <w:rPr>
          <w:bCs w:val="0"/>
          <w:sz w:val="24"/>
          <w:szCs w:val="24"/>
        </w:rPr>
      </w:pPr>
      <w:r w:rsidRPr="00FF2BBB">
        <w:rPr>
          <w:bCs w:val="0"/>
          <w:sz w:val="24"/>
          <w:szCs w:val="24"/>
        </w:rPr>
        <w:t>Refus de délivrance ou de renouvellement du titre de circulation de personne permanent ou temporaire</w:t>
      </w:r>
      <w:r w:rsidR="00C46CBD">
        <w:rPr>
          <w:bCs w:val="0"/>
          <w:sz w:val="24"/>
          <w:szCs w:val="24"/>
        </w:rPr>
        <w:t xml:space="preserve"> « Badge et TAP »</w:t>
      </w:r>
    </w:p>
    <w:p w14:paraId="34841FA9" w14:textId="77777777" w:rsidR="00B4707C" w:rsidRDefault="00B4707C" w:rsidP="00B4707C">
      <w:pPr>
        <w:autoSpaceDE w:val="0"/>
        <w:autoSpaceDN w:val="0"/>
        <w:adjustRightInd w:val="0"/>
        <w:jc w:val="both"/>
        <w:rPr>
          <w:rFonts w:cs="Times-Roman"/>
          <w:color w:val="2C2A2A"/>
        </w:rPr>
      </w:pPr>
      <w:r w:rsidRPr="0083177A">
        <w:rPr>
          <w:rFonts w:cs="Times-Roman"/>
          <w:color w:val="2C2A2A"/>
        </w:rPr>
        <w:t xml:space="preserve">La délivrance </w:t>
      </w:r>
      <w:r>
        <w:rPr>
          <w:rFonts w:cs="Times-Roman"/>
          <w:color w:val="2C2A2A"/>
        </w:rPr>
        <w:t xml:space="preserve">ou le renouvellement </w:t>
      </w:r>
      <w:r w:rsidRPr="0083177A">
        <w:rPr>
          <w:rFonts w:cs="Times-Roman"/>
          <w:color w:val="2C2A2A"/>
        </w:rPr>
        <w:t>d’un titre de circulation permanent ou temporaire est refusée par</w:t>
      </w:r>
      <w:r>
        <w:rPr>
          <w:rFonts w:cs="Times-Roman"/>
          <w:color w:val="2C2A2A"/>
        </w:rPr>
        <w:t xml:space="preserve"> TMPA</w:t>
      </w:r>
      <w:r w:rsidRPr="0083177A">
        <w:rPr>
          <w:rFonts w:cs="Times-Roman"/>
          <w:color w:val="2C2A2A"/>
        </w:rPr>
        <w:t xml:space="preserve"> </w:t>
      </w:r>
      <w:r>
        <w:rPr>
          <w:rFonts w:cs="Times-Roman"/>
          <w:color w:val="2C2A2A"/>
        </w:rPr>
        <w:t>dans les</w:t>
      </w:r>
      <w:r w:rsidRPr="0083177A">
        <w:rPr>
          <w:rFonts w:cs="Times-Roman"/>
          <w:color w:val="2C2A2A"/>
        </w:rPr>
        <w:t xml:space="preserve"> cas</w:t>
      </w:r>
      <w:r>
        <w:rPr>
          <w:rFonts w:cs="Times-Roman"/>
          <w:color w:val="2C2A2A"/>
        </w:rPr>
        <w:t xml:space="preserve"> suivants :</w:t>
      </w:r>
    </w:p>
    <w:p w14:paraId="4BBF72AB" w14:textId="77777777" w:rsidR="00B4707C" w:rsidRPr="008E7F0A" w:rsidRDefault="00B4707C" w:rsidP="00B4707C">
      <w:pPr>
        <w:pStyle w:val="Paragraphedeliste"/>
        <w:numPr>
          <w:ilvl w:val="0"/>
          <w:numId w:val="7"/>
        </w:numPr>
        <w:autoSpaceDE w:val="0"/>
        <w:autoSpaceDN w:val="0"/>
        <w:adjustRightInd w:val="0"/>
        <w:spacing w:after="0" w:line="240" w:lineRule="auto"/>
        <w:ind w:right="708"/>
        <w:rPr>
          <w:rFonts w:cs="Times-Roman"/>
          <w:color w:val="2C2A2A"/>
        </w:rPr>
      </w:pPr>
      <w:r w:rsidRPr="008E7F0A">
        <w:rPr>
          <w:rFonts w:cs="Times-Roman"/>
          <w:color w:val="2C2A2A"/>
        </w:rPr>
        <w:t>Absence de motif justifiant l’entrée en zone portuaire ;</w:t>
      </w:r>
    </w:p>
    <w:p w14:paraId="0A9EEB45" w14:textId="77777777" w:rsidR="00B4707C" w:rsidRPr="008E7F0A" w:rsidRDefault="00B4707C" w:rsidP="00B4707C">
      <w:pPr>
        <w:pStyle w:val="Paragraphedeliste"/>
        <w:numPr>
          <w:ilvl w:val="0"/>
          <w:numId w:val="7"/>
        </w:numPr>
        <w:autoSpaceDE w:val="0"/>
        <w:autoSpaceDN w:val="0"/>
        <w:adjustRightInd w:val="0"/>
        <w:spacing w:after="0" w:line="240" w:lineRule="auto"/>
        <w:ind w:right="708"/>
        <w:rPr>
          <w:rFonts w:cs="Times-Roman"/>
          <w:color w:val="2C2A2A"/>
        </w:rPr>
      </w:pPr>
      <w:r w:rsidRPr="008E7F0A">
        <w:rPr>
          <w:rFonts w:cs="Times-Roman"/>
          <w:color w:val="2C2A2A"/>
        </w:rPr>
        <w:t>Avis défavorable du comité Ad hoc ;</w:t>
      </w:r>
    </w:p>
    <w:p w14:paraId="0DB46978" w14:textId="77777777" w:rsidR="00B4707C" w:rsidRDefault="00B4707C" w:rsidP="00B4707C">
      <w:pPr>
        <w:pStyle w:val="Paragraphedeliste"/>
        <w:numPr>
          <w:ilvl w:val="0"/>
          <w:numId w:val="7"/>
        </w:numPr>
        <w:autoSpaceDE w:val="0"/>
        <w:autoSpaceDN w:val="0"/>
        <w:adjustRightInd w:val="0"/>
        <w:spacing w:after="0" w:line="240" w:lineRule="auto"/>
        <w:ind w:right="708"/>
        <w:rPr>
          <w:rFonts w:cs="Times-Roman"/>
          <w:color w:val="2C2A2A"/>
        </w:rPr>
      </w:pPr>
      <w:r>
        <w:rPr>
          <w:rFonts w:cs="Times-Roman"/>
          <w:color w:val="2C2A2A"/>
        </w:rPr>
        <w:t xml:space="preserve">Avis défavorable de la DGSN ;  </w:t>
      </w:r>
    </w:p>
    <w:p w14:paraId="5D3EEB4C" w14:textId="77777777" w:rsidR="00B4707C" w:rsidRPr="00FE28C0" w:rsidRDefault="00B4707C" w:rsidP="00B4707C">
      <w:pPr>
        <w:pStyle w:val="Paragraphedeliste"/>
        <w:numPr>
          <w:ilvl w:val="0"/>
          <w:numId w:val="7"/>
        </w:numPr>
        <w:autoSpaceDE w:val="0"/>
        <w:autoSpaceDN w:val="0"/>
        <w:adjustRightInd w:val="0"/>
        <w:spacing w:after="0" w:line="240" w:lineRule="auto"/>
        <w:ind w:right="708"/>
        <w:rPr>
          <w:rFonts w:cs="Times-Roman"/>
          <w:color w:val="2C2A2A"/>
        </w:rPr>
      </w:pPr>
      <w:r>
        <w:rPr>
          <w:rFonts w:cs="Times-Roman"/>
          <w:color w:val="2C2A2A"/>
        </w:rPr>
        <w:t>La demande n’est pas validée par un gestionnaire de zone ou d’activité.</w:t>
      </w:r>
    </w:p>
    <w:p w14:paraId="51D5A01E" w14:textId="77777777" w:rsidR="00B4707C" w:rsidRPr="000C310B" w:rsidRDefault="00B4707C" w:rsidP="00B4707C">
      <w:pPr>
        <w:autoSpaceDE w:val="0"/>
        <w:autoSpaceDN w:val="0"/>
        <w:adjustRightInd w:val="0"/>
        <w:spacing w:before="240"/>
        <w:jc w:val="both"/>
        <w:rPr>
          <w:rFonts w:cs="Times-Roman"/>
          <w:color w:val="2C2A2A"/>
        </w:rPr>
      </w:pPr>
      <w:r w:rsidRPr="008E7F0A">
        <w:rPr>
          <w:rFonts w:cs="Times-Roman"/>
          <w:color w:val="2C2A2A"/>
        </w:rPr>
        <w:t>Les titres de circulation permanents ou provisoires délivrés aux usagers peuvent être désactivés à tout moment par l’autorité portuaire à l’issu des compagnes de renouvellement périodiques effectuées par le comité Ad hoc.</w:t>
      </w:r>
      <w:bookmarkStart w:id="8" w:name="_Toc387222794"/>
    </w:p>
    <w:p w14:paraId="0B6C931E" w14:textId="77777777" w:rsidR="00B4707C" w:rsidRPr="00FF2BBB" w:rsidRDefault="00B4707C" w:rsidP="00B4707C">
      <w:pPr>
        <w:pStyle w:val="Titre1"/>
        <w:numPr>
          <w:ilvl w:val="0"/>
          <w:numId w:val="1"/>
        </w:numPr>
        <w:jc w:val="both"/>
        <w:rPr>
          <w:bCs w:val="0"/>
          <w:sz w:val="24"/>
          <w:szCs w:val="24"/>
        </w:rPr>
      </w:pPr>
      <w:bookmarkStart w:id="9" w:name="_Toc61621214"/>
      <w:r w:rsidRPr="00FF2BBB">
        <w:rPr>
          <w:bCs w:val="0"/>
          <w:sz w:val="24"/>
          <w:szCs w:val="24"/>
        </w:rPr>
        <w:t>Perte ou vol d’un titre de circulation</w:t>
      </w:r>
      <w:bookmarkEnd w:id="8"/>
      <w:bookmarkEnd w:id="9"/>
    </w:p>
    <w:p w14:paraId="5F548ECF" w14:textId="77777777" w:rsidR="00B4707C" w:rsidRPr="00D459B9" w:rsidRDefault="00B4707C" w:rsidP="00B4707C">
      <w:pPr>
        <w:ind w:left="284" w:right="708"/>
        <w:rPr>
          <w:sz w:val="2"/>
          <w:szCs w:val="2"/>
        </w:rPr>
      </w:pPr>
    </w:p>
    <w:p w14:paraId="49F77BC8" w14:textId="77777777" w:rsidR="00B4707C" w:rsidRPr="0083177A" w:rsidRDefault="00B4707C" w:rsidP="00B4707C">
      <w:pPr>
        <w:autoSpaceDE w:val="0"/>
        <w:autoSpaceDN w:val="0"/>
        <w:adjustRightInd w:val="0"/>
        <w:jc w:val="both"/>
        <w:rPr>
          <w:rFonts w:cs="Times-Roman"/>
          <w:color w:val="2C2A2A"/>
        </w:rPr>
      </w:pPr>
      <w:r w:rsidRPr="0083177A">
        <w:rPr>
          <w:rFonts w:cs="Times-Roman"/>
          <w:color w:val="2C2A2A"/>
        </w:rPr>
        <w:t xml:space="preserve">La perte ou le vol d’un </w:t>
      </w:r>
      <w:r>
        <w:rPr>
          <w:rFonts w:cs="Times-Roman"/>
          <w:color w:val="2C2A2A"/>
        </w:rPr>
        <w:t>titre de circulation permanent ou provisoire doit être</w:t>
      </w:r>
      <w:r w:rsidRPr="0083177A">
        <w:rPr>
          <w:rFonts w:cs="Times-Roman"/>
          <w:color w:val="2C2A2A"/>
        </w:rPr>
        <w:t xml:space="preserve"> immédiatement signalé</w:t>
      </w:r>
      <w:r>
        <w:rPr>
          <w:rFonts w:cs="Times-Roman"/>
          <w:color w:val="2C2A2A"/>
        </w:rPr>
        <w:t>e à : la DGSN ou Gendarmerie Royale, Bureau des formalités des accès et au gestionnaire de zone et ou d’activité.</w:t>
      </w:r>
    </w:p>
    <w:p w14:paraId="365486AB" w14:textId="77777777" w:rsidR="00B4707C" w:rsidRPr="0083177A" w:rsidRDefault="00B4707C" w:rsidP="00B4707C">
      <w:pPr>
        <w:autoSpaceDE w:val="0"/>
        <w:autoSpaceDN w:val="0"/>
        <w:adjustRightInd w:val="0"/>
        <w:jc w:val="both"/>
        <w:rPr>
          <w:rFonts w:cs="Times-Roman"/>
          <w:color w:val="2C2A2A"/>
        </w:rPr>
      </w:pPr>
      <w:r w:rsidRPr="0083177A">
        <w:rPr>
          <w:rFonts w:cs="Times-Roman"/>
          <w:color w:val="2C2A2A"/>
        </w:rPr>
        <w:t>Le dossier de demande de remplacement comprend les mêmes pièces qu’un dossier de première demande,</w:t>
      </w:r>
      <w:r>
        <w:rPr>
          <w:rFonts w:cs="Times-Roman"/>
          <w:color w:val="2C2A2A"/>
        </w:rPr>
        <w:t xml:space="preserve"> </w:t>
      </w:r>
      <w:r w:rsidRPr="0083177A">
        <w:rPr>
          <w:rFonts w:cs="Times-Roman"/>
          <w:color w:val="2C2A2A"/>
        </w:rPr>
        <w:t>complétées d’un récépissé de déclaration de vol</w:t>
      </w:r>
      <w:r>
        <w:rPr>
          <w:rFonts w:cs="Times-Roman"/>
          <w:color w:val="2C2A2A"/>
        </w:rPr>
        <w:t xml:space="preserve"> ou de perte</w:t>
      </w:r>
      <w:r w:rsidRPr="0083177A">
        <w:rPr>
          <w:rFonts w:cs="Times-Roman"/>
          <w:color w:val="2C2A2A"/>
        </w:rPr>
        <w:t xml:space="preserve"> auprès des services de police ou de</w:t>
      </w:r>
      <w:r>
        <w:rPr>
          <w:rFonts w:cs="Times-Roman"/>
          <w:color w:val="2C2A2A"/>
        </w:rPr>
        <w:t xml:space="preserve"> la</w:t>
      </w:r>
      <w:r w:rsidRPr="0083177A">
        <w:rPr>
          <w:rFonts w:cs="Times-Roman"/>
          <w:color w:val="2C2A2A"/>
        </w:rPr>
        <w:t xml:space="preserve"> gendarmerie</w:t>
      </w:r>
      <w:r w:rsidR="00523477">
        <w:rPr>
          <w:rFonts w:cs="Times-Roman"/>
          <w:color w:val="2C2A2A"/>
        </w:rPr>
        <w:t xml:space="preserve">, ou bien une déclaration sur l’honneur faite par </w:t>
      </w:r>
      <w:r w:rsidR="00523477">
        <w:t>l’intéressé ou par son correspondant</w:t>
      </w:r>
      <w:r>
        <w:rPr>
          <w:rFonts w:cs="Times-Roman"/>
          <w:color w:val="2C2A2A"/>
        </w:rPr>
        <w:t xml:space="preserve">. </w:t>
      </w:r>
    </w:p>
    <w:p w14:paraId="63BF0DE2" w14:textId="77777777" w:rsidR="00CF621E" w:rsidRDefault="00CF621E"/>
    <w:sectPr w:rsidR="00CF62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A496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0C6EB7"/>
    <w:multiLevelType w:val="hybridMultilevel"/>
    <w:tmpl w:val="465C8CAC"/>
    <w:lvl w:ilvl="0" w:tplc="AF8E82EC">
      <w:start w:val="2"/>
      <w:numFmt w:val="bullet"/>
      <w:lvlText w:val="-"/>
      <w:lvlJc w:val="left"/>
      <w:pPr>
        <w:ind w:left="720" w:hanging="360"/>
      </w:pPr>
      <w:rPr>
        <w:rFonts w:ascii="Arial" w:eastAsiaTheme="minorHAnsi"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014C8F"/>
    <w:multiLevelType w:val="hybridMultilevel"/>
    <w:tmpl w:val="A4E8C1EA"/>
    <w:lvl w:ilvl="0" w:tplc="AF8E82EC">
      <w:start w:val="2"/>
      <w:numFmt w:val="bullet"/>
      <w:lvlText w:val="-"/>
      <w:lvlJc w:val="left"/>
      <w:pPr>
        <w:ind w:left="720" w:hanging="360"/>
      </w:pPr>
      <w:rPr>
        <w:rFonts w:ascii="Arial" w:eastAsiaTheme="minorHAnsi" w:hAnsi="Arial" w:cs="Arial"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D10213"/>
    <w:multiLevelType w:val="hybridMultilevel"/>
    <w:tmpl w:val="94DEB4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AF756C"/>
    <w:multiLevelType w:val="hybridMultilevel"/>
    <w:tmpl w:val="1AF68F02"/>
    <w:lvl w:ilvl="0" w:tplc="AF8E82EC">
      <w:start w:val="2"/>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D22EED"/>
    <w:multiLevelType w:val="hybridMultilevel"/>
    <w:tmpl w:val="D68EB3F4"/>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940BC3"/>
    <w:multiLevelType w:val="hybridMultilevel"/>
    <w:tmpl w:val="F65490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72456785">
    <w:abstractNumId w:val="0"/>
  </w:num>
  <w:num w:numId="2" w16cid:durableId="1393968756">
    <w:abstractNumId w:val="5"/>
  </w:num>
  <w:num w:numId="3" w16cid:durableId="299849857">
    <w:abstractNumId w:val="3"/>
  </w:num>
  <w:num w:numId="4" w16cid:durableId="1722318331">
    <w:abstractNumId w:val="6"/>
  </w:num>
  <w:num w:numId="5" w16cid:durableId="1475634006">
    <w:abstractNumId w:val="2"/>
  </w:num>
  <w:num w:numId="6" w16cid:durableId="284164131">
    <w:abstractNumId w:val="1"/>
  </w:num>
  <w:num w:numId="7" w16cid:durableId="1472363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7C"/>
    <w:rsid w:val="00070212"/>
    <w:rsid w:val="000856AF"/>
    <w:rsid w:val="00350FC4"/>
    <w:rsid w:val="00486D3B"/>
    <w:rsid w:val="00523477"/>
    <w:rsid w:val="006F4ECE"/>
    <w:rsid w:val="00A02743"/>
    <w:rsid w:val="00B420C9"/>
    <w:rsid w:val="00B4707C"/>
    <w:rsid w:val="00B512BF"/>
    <w:rsid w:val="00C46CBD"/>
    <w:rsid w:val="00CF621E"/>
    <w:rsid w:val="00D06584"/>
    <w:rsid w:val="00FF2D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D9911"/>
  <w15:chartTrackingRefBased/>
  <w15:docId w15:val="{C062DC0B-E7B7-4EBC-A9ED-52DF173B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07C"/>
  </w:style>
  <w:style w:type="paragraph" w:styleId="Titre1">
    <w:name w:val="heading 1"/>
    <w:basedOn w:val="Normal"/>
    <w:link w:val="Titre1Car"/>
    <w:uiPriority w:val="9"/>
    <w:qFormat/>
    <w:rsid w:val="00B470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4707C"/>
    <w:rPr>
      <w:rFonts w:ascii="Times New Roman" w:eastAsia="Times New Roman" w:hAnsi="Times New Roman" w:cs="Times New Roman"/>
      <w:b/>
      <w:bCs/>
      <w:kern w:val="36"/>
      <w:sz w:val="48"/>
      <w:szCs w:val="48"/>
      <w:lang w:eastAsia="fr-FR"/>
    </w:rPr>
  </w:style>
  <w:style w:type="paragraph" w:styleId="Paragraphedeliste">
    <w:name w:val="List Paragraph"/>
    <w:basedOn w:val="Normal"/>
    <w:link w:val="ParagraphedelisteCar"/>
    <w:uiPriority w:val="34"/>
    <w:qFormat/>
    <w:rsid w:val="00B4707C"/>
    <w:pPr>
      <w:ind w:left="720"/>
      <w:contextualSpacing/>
    </w:pPr>
  </w:style>
  <w:style w:type="character" w:customStyle="1" w:styleId="ParagraphedelisteCar">
    <w:name w:val="Paragraphe de liste Car"/>
    <w:basedOn w:val="Policepardfaut"/>
    <w:link w:val="Paragraphedeliste"/>
    <w:uiPriority w:val="34"/>
    <w:rsid w:val="00B4707C"/>
  </w:style>
  <w:style w:type="paragraph" w:styleId="Textedebulles">
    <w:name w:val="Balloon Text"/>
    <w:basedOn w:val="Normal"/>
    <w:link w:val="TextedebullesCar"/>
    <w:uiPriority w:val="99"/>
    <w:semiHidden/>
    <w:unhideWhenUsed/>
    <w:rsid w:val="000702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0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Jaafar Ameyer</dc:creator>
  <cp:keywords/>
  <dc:description/>
  <cp:lastModifiedBy>Sara</cp:lastModifiedBy>
  <cp:revision>2</cp:revision>
  <dcterms:created xsi:type="dcterms:W3CDTF">2022-05-17T14:25:00Z</dcterms:created>
  <dcterms:modified xsi:type="dcterms:W3CDTF">2022-05-17T14:25:00Z</dcterms:modified>
</cp:coreProperties>
</file>